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CDF" w:rsidRDefault="00AB2C2B">
      <w:pPr>
        <w:pStyle w:val="Header"/>
        <w:spacing w:line="264" w:lineRule="auto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3GPP TSG RAN WG1 #114</w:t>
      </w:r>
      <w:r>
        <w:rPr>
          <w:rFonts w:ascii="Times New Roman" w:eastAsia="SimSun" w:hAnsi="Times New Roman"/>
          <w:sz w:val="22"/>
          <w:szCs w:val="22"/>
          <w:lang w:eastAsia="zh-CN"/>
        </w:rPr>
        <w:t>bis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>R1-2309628</w:t>
      </w:r>
    </w:p>
    <w:p w:rsidR="004E2CDF" w:rsidRDefault="00AB2C2B">
      <w:pPr>
        <w:pStyle w:val="Header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bCs/>
          <w:sz w:val="22"/>
          <w:szCs w:val="22"/>
          <w:lang w:eastAsia="ja-JP"/>
        </w:rPr>
        <w:t>Xiamen, China, October 9</w:t>
      </w:r>
      <w:r>
        <w:rPr>
          <w:rFonts w:ascii="Times New Roman" w:eastAsia="Malgun Gothic" w:hAnsi="Times New Roman"/>
          <w:bCs/>
          <w:sz w:val="22"/>
          <w:szCs w:val="22"/>
          <w:vertAlign w:val="superscript"/>
          <w:lang w:eastAsia="ko-KR"/>
        </w:rPr>
        <w:t>th</w:t>
      </w:r>
      <w:r>
        <w:rPr>
          <w:rFonts w:ascii="Times New Roman" w:hAnsi="Times New Roman"/>
          <w:bCs/>
          <w:sz w:val="22"/>
          <w:szCs w:val="22"/>
          <w:lang w:eastAsia="ja-JP"/>
        </w:rPr>
        <w:t xml:space="preserve"> </w:t>
      </w:r>
      <w:r>
        <w:rPr>
          <w:rFonts w:ascii="Times New Roman" w:hAnsi="Times New Roman"/>
          <w:bCs/>
          <w:sz w:val="22"/>
          <w:szCs w:val="22"/>
        </w:rPr>
        <w:t>– October</w:t>
      </w:r>
      <w:r>
        <w:rPr>
          <w:rFonts w:ascii="Times New Roman" w:hAnsi="Times New Roman"/>
          <w:bCs/>
          <w:sz w:val="22"/>
          <w:szCs w:val="22"/>
          <w:lang w:eastAsia="ja-JP"/>
        </w:rPr>
        <w:t xml:space="preserve"> 13</w:t>
      </w:r>
      <w:r>
        <w:rPr>
          <w:rFonts w:ascii="Times New Roman" w:hAnsi="Times New Roman"/>
          <w:bCs/>
          <w:sz w:val="22"/>
          <w:szCs w:val="22"/>
          <w:vertAlign w:val="superscript"/>
          <w:lang w:eastAsia="ja-JP"/>
        </w:rPr>
        <w:t>th</w:t>
      </w:r>
      <w:r>
        <w:rPr>
          <w:rFonts w:ascii="Times New Roman" w:hAnsi="Times New Roman"/>
          <w:bCs/>
          <w:sz w:val="22"/>
          <w:szCs w:val="22"/>
          <w:lang w:eastAsia="ja-JP"/>
        </w:rPr>
        <w:t>, 2023</w:t>
      </w:r>
    </w:p>
    <w:p w:rsidR="004E2CDF" w:rsidRDefault="004E2CDF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:rsidR="004E2CDF" w:rsidRDefault="00AB2C2B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:rsidR="004E2CDF" w:rsidRDefault="00AB2C2B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Discussion on UE features for XR</w:t>
      </w:r>
    </w:p>
    <w:p w:rsidR="004E2CDF" w:rsidRDefault="00AB2C2B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8</w:t>
      </w:r>
      <w:r>
        <w:rPr>
          <w:rFonts w:ascii="Times New Roman" w:eastAsia="SimSun" w:hAnsi="Times New Roman"/>
          <w:szCs w:val="20"/>
          <w:lang w:eastAsia="zh-CN"/>
        </w:rPr>
        <w:t>.16.</w:t>
      </w:r>
      <w:r>
        <w:rPr>
          <w:rFonts w:ascii="Times New Roman" w:eastAsia="SimSun" w:hAnsi="Times New Roman"/>
          <w:szCs w:val="20"/>
          <w:lang w:eastAsia="zh-CN"/>
        </w:rPr>
        <w:t>6</w:t>
      </w:r>
    </w:p>
    <w:p w:rsidR="004E2CDF" w:rsidRDefault="00AB2C2B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:rsidR="004E2CDF" w:rsidRDefault="004E2CDF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DocumentFor"/>
      <w:bookmarkStart w:id="1" w:name="Source"/>
      <w:bookmarkEnd w:id="0"/>
      <w:bookmarkEnd w:id="1"/>
    </w:p>
    <w:p w:rsidR="004E2CDF" w:rsidRDefault="00AB2C2B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:rsidR="004E2CDF" w:rsidRDefault="00AB2C2B" w:rsidP="00FF1933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>This contribution elaborates our views on</w:t>
      </w:r>
      <w:r>
        <w:rPr>
          <w:rStyle w:val="apple-converted-space"/>
          <w:rFonts w:eastAsiaTheme="minorEastAsia"/>
          <w:lang w:eastAsia="zh-CN"/>
        </w:rPr>
        <w:t xml:space="preserve"> UE features for Rel-18 XR.</w:t>
      </w:r>
    </w:p>
    <w:p w:rsidR="004E2CDF" w:rsidRDefault="00AB2C2B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:rsidR="004E2CDF" w:rsidRDefault="00AB2C2B">
      <w:pPr>
        <w:tabs>
          <w:tab w:val="left" w:pos="800"/>
        </w:tabs>
        <w:spacing w:before="120" w:after="120"/>
        <w:rPr>
          <w:rFonts w:eastAsia="MS Gothic"/>
          <w:szCs w:val="20"/>
          <w:lang w:eastAsia="ja-JP"/>
        </w:rPr>
      </w:pPr>
      <w:r>
        <w:rPr>
          <w:rFonts w:eastAsia="MS Gothic"/>
          <w:szCs w:val="20"/>
          <w:lang w:eastAsia="ja-JP"/>
        </w:rPr>
        <w:t>I</w:t>
      </w:r>
      <w:r>
        <w:rPr>
          <w:rFonts w:eastAsia="MS Gothic"/>
          <w:szCs w:val="20"/>
          <w:lang w:eastAsia="ja-JP"/>
        </w:rPr>
        <w:t xml:space="preserve">t is reasonable to consider </w:t>
      </w:r>
      <w:r>
        <w:rPr>
          <w:rFonts w:eastAsia="MS Gothic"/>
          <w:szCs w:val="20"/>
          <w:lang w:eastAsia="ja-JP"/>
        </w:rPr>
        <w:t>separating</w:t>
      </w:r>
      <w:r>
        <w:rPr>
          <w:rFonts w:eastAsia="MS Gothic"/>
          <w:szCs w:val="20"/>
          <w:lang w:eastAsia="ja-JP"/>
        </w:rPr>
        <w:t xml:space="preserve"> </w:t>
      </w:r>
      <w:r>
        <w:rPr>
          <w:rFonts w:eastAsia="MS Gothic"/>
          <w:szCs w:val="20"/>
          <w:lang w:eastAsia="ja-JP"/>
        </w:rPr>
        <w:t xml:space="preserve">FG50-1 </w:t>
      </w:r>
      <w:r>
        <w:rPr>
          <w:rFonts w:eastAsia="MS Gothic"/>
          <w:szCs w:val="20"/>
          <w:lang w:eastAsia="ja-JP"/>
        </w:rPr>
        <w:t xml:space="preserve">into </w:t>
      </w:r>
      <w:r>
        <w:rPr>
          <w:rFonts w:eastAsia="MS Gothic"/>
          <w:szCs w:val="20"/>
          <w:lang w:eastAsia="ja-JP"/>
        </w:rPr>
        <w:t xml:space="preserve">two </w:t>
      </w:r>
      <w:r>
        <w:rPr>
          <w:rFonts w:eastAsia="MS Gothic"/>
          <w:szCs w:val="20"/>
          <w:lang w:eastAsia="ja-JP"/>
        </w:rPr>
        <w:t>FG</w:t>
      </w:r>
      <w:r>
        <w:rPr>
          <w:rFonts w:eastAsia="MS Gothic"/>
          <w:szCs w:val="20"/>
          <w:lang w:eastAsia="ja-JP"/>
        </w:rPr>
        <w:t xml:space="preserve">s </w:t>
      </w:r>
      <w:r>
        <w:rPr>
          <w:rFonts w:eastAsia="MS Gothic"/>
          <w:szCs w:val="20"/>
          <w:lang w:eastAsia="ja-JP"/>
        </w:rPr>
        <w:t>for Type-1 CG and</w:t>
      </w:r>
      <w:r>
        <w:rPr>
          <w:rFonts w:eastAsia="MS Gothic"/>
          <w:szCs w:val="20"/>
          <w:lang w:eastAsia="ja-JP"/>
        </w:rPr>
        <w:t xml:space="preserve"> </w:t>
      </w:r>
      <w:r>
        <w:rPr>
          <w:rFonts w:eastAsia="MS Gothic"/>
          <w:szCs w:val="20"/>
          <w:lang w:eastAsia="ja-JP"/>
        </w:rPr>
        <w:t>Type-2 CG</w:t>
      </w:r>
      <w:r>
        <w:rPr>
          <w:rFonts w:eastAsia="MS Gothic"/>
          <w:szCs w:val="20"/>
          <w:lang w:eastAsia="ja-JP"/>
        </w:rPr>
        <w:t xml:space="preserve"> respectively</w:t>
      </w:r>
      <w:r>
        <w:rPr>
          <w:rFonts w:eastAsia="MS Gothic"/>
          <w:szCs w:val="20"/>
          <w:lang w:eastAsia="ja-JP"/>
        </w:rPr>
        <w:t xml:space="preserve">, given that: </w:t>
      </w:r>
    </w:p>
    <w:p w:rsidR="004E2CDF" w:rsidRDefault="00AB2C2B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szCs w:val="20"/>
          <w:lang w:eastAsia="ja-JP"/>
        </w:rPr>
      </w:pPr>
      <w:r>
        <w:rPr>
          <w:rFonts w:eastAsia="MS Gothic"/>
          <w:szCs w:val="20"/>
          <w:lang w:eastAsia="ja-JP"/>
        </w:rPr>
        <w:t>In the existing UE feature framework, Type-1 CG and Type-2 CG belong to two separate UE features/capab</w:t>
      </w:r>
      <w:r>
        <w:rPr>
          <w:rFonts w:eastAsia="MS Gothic"/>
          <w:szCs w:val="20"/>
          <w:lang w:eastAsia="ja-JP"/>
        </w:rPr>
        <w:t xml:space="preserve">ilities (FG 5-19 vs. FG 5-20). </w:t>
      </w:r>
    </w:p>
    <w:p w:rsidR="004E2CDF" w:rsidRDefault="00AB2C2B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szCs w:val="20"/>
          <w:lang w:eastAsia="ja-JP"/>
        </w:rPr>
      </w:pPr>
      <w:r>
        <w:rPr>
          <w:rFonts w:eastAsia="MS Gothic"/>
          <w:szCs w:val="20"/>
          <w:lang w:eastAsia="ja-JP"/>
        </w:rPr>
        <w:t xml:space="preserve">RAN1 defines different UE behaviors/functionalities for TDRA operation between Type-1 CG and Type-2 CG, as quoted as following.  </w:t>
      </w:r>
    </w:p>
    <w:tbl>
      <w:tblPr>
        <w:tblStyle w:val="TableGrid"/>
        <w:tblW w:w="0" w:type="auto"/>
        <w:tblLook w:val="04A0"/>
      </w:tblPr>
      <w:tblGrid>
        <w:gridCol w:w="9300"/>
      </w:tblGrid>
      <w:tr w:rsidR="004E2CDF">
        <w:tc>
          <w:tcPr>
            <w:tcW w:w="9300" w:type="dxa"/>
          </w:tcPr>
          <w:p w:rsidR="004E2CDF" w:rsidRDefault="00AB2C2B">
            <w:pPr>
              <w:rPr>
                <w:color w:val="000000"/>
                <w:szCs w:val="20"/>
              </w:rPr>
            </w:pPr>
            <w:r>
              <w:rPr>
                <w:b/>
                <w:bCs/>
                <w:szCs w:val="20"/>
                <w:highlight w:val="green"/>
              </w:rPr>
              <w:t xml:space="preserve">Agreement </w:t>
            </w:r>
            <w:r>
              <w:rPr>
                <w:b/>
                <w:bCs/>
                <w:szCs w:val="20"/>
                <w:lang w:eastAsia="zh-CN"/>
              </w:rPr>
              <w:t>[RAN1 #113]</w:t>
            </w:r>
          </w:p>
          <w:p w:rsidR="004E2CDF" w:rsidRDefault="00AB2C2B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For time domain resource allocation for multi-PUSCH CGs, support</w:t>
            </w:r>
          </w:p>
          <w:p w:rsidR="004E2CDF" w:rsidRDefault="00AB2C2B">
            <w:pPr>
              <w:pStyle w:val="ListParagraph"/>
              <w:numPr>
                <w:ilvl w:val="0"/>
                <w:numId w:val="11"/>
              </w:numPr>
              <w:tabs>
                <w:tab w:val="left" w:pos="450"/>
              </w:tabs>
              <w:ind w:left="450" w:firstLineChars="0"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ja-JP"/>
              </w:rPr>
              <w:t xml:space="preserve">For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ja-JP"/>
              </w:rPr>
              <w:t>TDRA determination (based on NR-U framework)</w:t>
            </w:r>
          </w:p>
          <w:p w:rsidR="004E2CDF" w:rsidRDefault="00AB2C2B">
            <w:pPr>
              <w:pStyle w:val="ListParagraph"/>
              <w:numPr>
                <w:ilvl w:val="1"/>
                <w:numId w:val="11"/>
              </w:numPr>
              <w:tabs>
                <w:tab w:val="left" w:pos="1440"/>
              </w:tabs>
              <w:ind w:leftChars="540" w:hangingChars="1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 Type-1, follow the rules for DCI format 0_0 on UE specific search space, as defined in Clause 6.1.2.1.1 of TS 38.214.</w:t>
            </w:r>
          </w:p>
          <w:p w:rsidR="004E2CDF" w:rsidRDefault="00AB2C2B">
            <w:pPr>
              <w:pStyle w:val="ListParagraph"/>
              <w:numPr>
                <w:ilvl w:val="2"/>
                <w:numId w:val="11"/>
              </w:numPr>
              <w:ind w:leftChars="900" w:hangingChars="1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Note: To determine the configuration of TDRA, PUSCH repetition type A is assumed accordin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 to description in 6.1.2.3 in 38.214 for Type-1.</w:t>
            </w:r>
          </w:p>
          <w:p w:rsidR="004E2CDF" w:rsidRDefault="00AB2C2B">
            <w:pPr>
              <w:pStyle w:val="ListParagraph"/>
              <w:numPr>
                <w:ilvl w:val="3"/>
                <w:numId w:val="11"/>
              </w:numPr>
              <w:ind w:leftChars="1170" w:left="2700" w:hangingChars="1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It is still an open issue whether repetition is supported. If it is decided repetition is not supported, it implies the corresponding repetition factor for is one.</w:t>
            </w:r>
          </w:p>
          <w:p w:rsidR="004E2CDF" w:rsidRDefault="00AB2C2B">
            <w:pPr>
              <w:pStyle w:val="ListParagraph"/>
              <w:numPr>
                <w:ilvl w:val="1"/>
                <w:numId w:val="11"/>
              </w:numPr>
              <w:ind w:firstLineChars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 Type-2, the TDRA table is determined b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 the TDRA table associated with activation DCI, as defined in Clause 6.1.2.1 of TS 38.214.</w:t>
            </w:r>
          </w:p>
          <w:p w:rsidR="004E2CDF" w:rsidRDefault="00AB2C2B">
            <w:pPr>
              <w:pStyle w:val="ListParagraph"/>
              <w:numPr>
                <w:ilvl w:val="2"/>
                <w:numId w:val="11"/>
              </w:numPr>
              <w:ind w:leftChars="900" w:hangingChars="1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Note: The DCI format for activation DCI with pusch-RepTypeA is applicable. </w:t>
            </w:r>
          </w:p>
          <w:p w:rsidR="004E2CDF" w:rsidRDefault="00AB2C2B">
            <w:pPr>
              <w:pStyle w:val="ListParagraph"/>
              <w:numPr>
                <w:ilvl w:val="3"/>
                <w:numId w:val="11"/>
              </w:numPr>
              <w:ind w:leftChars="1170" w:left="2700" w:hangingChars="180"/>
              <w:rPr>
                <w:rFonts w:eastAsia="MS Gothic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It is still an open issue whether repetition is supported. If it is decided repetition 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 not supported, it implies the corresponding repetition factor for is one.</w:t>
            </w:r>
          </w:p>
        </w:tc>
      </w:tr>
    </w:tbl>
    <w:p w:rsidR="004E2CDF" w:rsidRDefault="00AB2C2B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szCs w:val="20"/>
        </w:rPr>
      </w:pPr>
      <w:r>
        <w:rPr>
          <w:rFonts w:eastAsia="MS Gothic"/>
          <w:szCs w:val="20"/>
          <w:lang w:eastAsia="ja-JP"/>
        </w:rPr>
        <w:t xml:space="preserve">A UE that supports both FG5-19 and FG5-20 should not be assumed to be able to use both Type-1 CG and Type-2 CG to support multi-TO per CG period.   </w:t>
      </w:r>
    </w:p>
    <w:p w:rsidR="004E2CDF" w:rsidRDefault="00AB2C2B">
      <w:pPr>
        <w:tabs>
          <w:tab w:val="left" w:pos="800"/>
        </w:tabs>
        <w:spacing w:before="120" w:after="120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1: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FG 50-1 is separated into two FGs for Type-1 CG and Type-2 CG, respectively; otherwise, FG 50-1 should be able to indicate whether the supporting of FG50-1 is via Type-1 CG, Type-2 CG or both. </w:t>
      </w:r>
    </w:p>
    <w:p w:rsidR="004E2CDF" w:rsidRDefault="00AB2C2B">
      <w:pPr>
        <w:tabs>
          <w:tab w:val="left" w:pos="800"/>
        </w:tabs>
        <w:spacing w:before="120" w:after="120"/>
        <w:rPr>
          <w:rStyle w:val="apple-converted-space"/>
          <w:szCs w:val="20"/>
        </w:rPr>
      </w:pPr>
      <w:r>
        <w:rPr>
          <w:rStyle w:val="apple-converted-space"/>
          <w:szCs w:val="20"/>
        </w:rPr>
        <w:t>It is worth noting that the RAN1 discussions so far in XR WI d</w:t>
      </w:r>
      <w:r>
        <w:rPr>
          <w:rStyle w:val="apple-converted-space"/>
          <w:szCs w:val="20"/>
        </w:rPr>
        <w:t>id not touch applying multiple PUSCH TOs in unlicensed bands, where it is unclear how to handle the PUSCH TO that is blocked in LBT procedure and how to handle a PUSCH that is transmitted within LBT delay but not on a configured PUSCH TO. Therefore the exi</w:t>
      </w:r>
      <w:r>
        <w:rPr>
          <w:rStyle w:val="apple-converted-space"/>
          <w:szCs w:val="20"/>
        </w:rPr>
        <w:t xml:space="preserve">sting FG 10-42 (Type-1 CG for NRU) and FG 10-43 (Type-2 CG for NRU) should not be considered as prerequisites for FG </w:t>
      </w:r>
      <w:r>
        <w:rPr>
          <w:rStyle w:val="apple-converted-space"/>
          <w:szCs w:val="20"/>
        </w:rPr>
        <w:t>50-1</w:t>
      </w:r>
      <w:r>
        <w:rPr>
          <w:rStyle w:val="apple-converted-space"/>
          <w:szCs w:val="20"/>
        </w:rPr>
        <w:t xml:space="preserve">.    </w:t>
      </w:r>
    </w:p>
    <w:p w:rsidR="004E2CDF" w:rsidRDefault="00AB2C2B">
      <w:pPr>
        <w:tabs>
          <w:tab w:val="left" w:pos="800"/>
        </w:tabs>
        <w:spacing w:before="24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RAN1 already agreed the maximum number of consecutive slots per CG period for CG-PUSCH transmission is either 16 or 32, up to UE capability. </w:t>
      </w:r>
    </w:p>
    <w:p w:rsidR="004E2CDF" w:rsidRDefault="00AB2C2B">
      <w:pPr>
        <w:tabs>
          <w:tab w:val="left" w:pos="800"/>
        </w:tabs>
        <w:spacing w:before="240" w:after="120"/>
        <w:rPr>
          <w:rStyle w:val="apple-converted-space"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</w:t>
      </w:r>
      <w:r>
        <w:rPr>
          <w:rFonts w:eastAsia="MS Gothic"/>
          <w:b/>
          <w:bCs/>
          <w:i/>
          <w:iCs/>
          <w:szCs w:val="20"/>
          <w:lang w:eastAsia="ja-JP"/>
        </w:rPr>
        <w:t>2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: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FG 50-1 has a component indicating the maximum number of consecutive slots for PUSCH transmission per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CG period.  </w:t>
      </w:r>
      <w:r>
        <w:rPr>
          <w:rStyle w:val="apple-converted-space"/>
          <w:szCs w:val="20"/>
          <w:lang w:eastAsia="ja-JP"/>
        </w:rPr>
        <w:t xml:space="preserve"> </w:t>
      </w:r>
    </w:p>
    <w:p w:rsidR="004E2CDF" w:rsidRDefault="00AB2C2B">
      <w:pPr>
        <w:rPr>
          <w:szCs w:val="20"/>
        </w:rPr>
      </w:pPr>
      <w:r>
        <w:rPr>
          <w:szCs w:val="20"/>
        </w:rPr>
        <w:t xml:space="preserve">Because Rel-15 FG 5-19 and FG 5-20 have number of CG configurations per BWP limited to no more than 1, there should be another feature group, say FG </w:t>
      </w:r>
      <w:r>
        <w:rPr>
          <w:szCs w:val="20"/>
        </w:rPr>
        <w:t>50-1x</w:t>
      </w:r>
      <w:r>
        <w:rPr>
          <w:szCs w:val="20"/>
        </w:rPr>
        <w:t>, for the support of multiple CG configurations for multiple PUSCH CG TOs per CG period,</w:t>
      </w:r>
      <w:r>
        <w:rPr>
          <w:szCs w:val="20"/>
        </w:rPr>
        <w:t xml:space="preserve"> if such support is a common understanding in RAN1. This FG </w:t>
      </w:r>
      <w:r>
        <w:rPr>
          <w:szCs w:val="20"/>
        </w:rPr>
        <w:t>50-1x</w:t>
      </w:r>
      <w:r>
        <w:rPr>
          <w:szCs w:val="20"/>
        </w:rPr>
        <w:t xml:space="preserve"> takes </w:t>
      </w:r>
      <w:r>
        <w:rPr>
          <w:szCs w:val="20"/>
        </w:rPr>
        <w:t xml:space="preserve">FG50-1 (or any of its split) </w:t>
      </w:r>
      <w:r>
        <w:rPr>
          <w:szCs w:val="20"/>
        </w:rPr>
        <w:t>as the prerequisite, and picks one of following two options:</w:t>
      </w:r>
    </w:p>
    <w:p w:rsidR="004E2CDF" w:rsidRDefault="00AB2C2B">
      <w:pPr>
        <w:numPr>
          <w:ilvl w:val="0"/>
          <w:numId w:val="12"/>
        </w:numPr>
        <w:tabs>
          <w:tab w:val="clear" w:pos="840"/>
          <w:tab w:val="left" w:pos="800"/>
        </w:tabs>
        <w:ind w:left="800" w:hanging="380"/>
        <w:rPr>
          <w:szCs w:val="20"/>
        </w:rPr>
      </w:pPr>
      <w:r>
        <w:rPr>
          <w:szCs w:val="20"/>
        </w:rPr>
        <w:t xml:space="preserve">Option-1: FG 11-9 (multi-CG configurations agreed in Rel-16 URLLC WI) is another prerequisite </w:t>
      </w:r>
      <w:r>
        <w:rPr>
          <w:szCs w:val="20"/>
        </w:rPr>
        <w:t xml:space="preserve">of FG </w:t>
      </w:r>
      <w:r>
        <w:rPr>
          <w:szCs w:val="20"/>
        </w:rPr>
        <w:t>50-1x</w:t>
      </w:r>
      <w:r>
        <w:rPr>
          <w:szCs w:val="20"/>
        </w:rPr>
        <w:t xml:space="preserve">. In addition, the two maximum numbers in component 2 and component 3 of FG 11-9 </w:t>
      </w:r>
      <w:r>
        <w:t xml:space="preserve">should be considered now to reflect the aggregated capability from both single PUSCH TO per CG period (as </w:t>
      </w:r>
      <w:r>
        <w:lastRenderedPageBreak/>
        <w:t>legacy feature) and multiple PUSCH TOs per CG period (as n</w:t>
      </w:r>
      <w:r>
        <w:t xml:space="preserve">ew Rel-18 XR feature); meanwhile, FG </w:t>
      </w:r>
      <w:r>
        <w:t>50-1x</w:t>
      </w:r>
      <w:r>
        <w:t xml:space="preserve"> should additionally contain two components for</w:t>
      </w:r>
      <w:r>
        <w:rPr>
          <w:szCs w:val="20"/>
        </w:rPr>
        <w:t xml:space="preserve"> </w:t>
      </w:r>
      <w:r>
        <w:t>“t</w:t>
      </w:r>
      <w:r>
        <w:rPr>
          <w:rStyle w:val="apple-converted-space"/>
          <w:szCs w:val="20"/>
          <w:lang w:eastAsia="ja-JP"/>
        </w:rPr>
        <w:t>he maximum number of multi-TO CG configurations per BWP” and “the maximum number of multi-TO CG configurations across all serving cells”, which should be respective</w:t>
      </w:r>
      <w:r>
        <w:rPr>
          <w:rStyle w:val="apple-converted-space"/>
          <w:szCs w:val="20"/>
          <w:lang w:eastAsia="ja-JP"/>
        </w:rPr>
        <w:t xml:space="preserve">ly no larger than </w:t>
      </w:r>
      <w:r>
        <w:rPr>
          <w:rFonts w:eastAsia="Arial"/>
          <w:i/>
          <w:iCs/>
          <w:color w:val="111112"/>
          <w:szCs w:val="20"/>
          <w:shd w:val="clear" w:color="auto" w:fill="FFFFFF"/>
          <w:lang w:eastAsia="zh-CN"/>
        </w:rPr>
        <w:t>maxNumberConfigsPerBWP-r16</w:t>
      </w:r>
      <w:r>
        <w:rPr>
          <w:rFonts w:eastAsia="Arial"/>
          <w:color w:val="111112"/>
          <w:szCs w:val="20"/>
          <w:shd w:val="clear" w:color="auto" w:fill="FFFFFF"/>
          <w:lang w:eastAsia="zh-CN"/>
        </w:rPr>
        <w:t xml:space="preserve"> and </w:t>
      </w:r>
      <w:r>
        <w:rPr>
          <w:i/>
          <w:iCs/>
        </w:rPr>
        <w:t>maxNumberConfigsAllCC-r16</w:t>
      </w:r>
      <w:r>
        <w:rPr>
          <w:rFonts w:eastAsia="Arial"/>
          <w:color w:val="111112"/>
          <w:szCs w:val="20"/>
          <w:shd w:val="clear" w:color="auto" w:fill="FFFFFF"/>
          <w:lang w:eastAsia="zh-CN"/>
        </w:rPr>
        <w:t xml:space="preserve"> reported in FG 11-9. </w:t>
      </w:r>
    </w:p>
    <w:p w:rsidR="004E2CDF" w:rsidRDefault="00AB2C2B">
      <w:pPr>
        <w:numPr>
          <w:ilvl w:val="0"/>
          <w:numId w:val="13"/>
        </w:numPr>
        <w:tabs>
          <w:tab w:val="clear" w:pos="840"/>
          <w:tab w:val="left" w:pos="800"/>
        </w:tabs>
        <w:rPr>
          <w:rStyle w:val="apple-converted-space"/>
          <w:szCs w:val="20"/>
          <w:lang w:eastAsia="ja-JP"/>
        </w:rPr>
      </w:pPr>
      <w:r>
        <w:rPr>
          <w:szCs w:val="20"/>
        </w:rPr>
        <w:t xml:space="preserve">Option-2: FG 11-9 is not the prerequisite of FG </w:t>
      </w:r>
      <w:r>
        <w:rPr>
          <w:szCs w:val="20"/>
        </w:rPr>
        <w:t>50-1x</w:t>
      </w:r>
      <w:r>
        <w:rPr>
          <w:szCs w:val="20"/>
        </w:rPr>
        <w:t xml:space="preserve">, but all feature components of FG 11-9 are copied to FG </w:t>
      </w:r>
      <w:r>
        <w:rPr>
          <w:szCs w:val="20"/>
        </w:rPr>
        <w:t>50-1x</w:t>
      </w:r>
      <w:r>
        <w:rPr>
          <w:szCs w:val="20"/>
        </w:rPr>
        <w:t xml:space="preserve"> with necessary changes, e.g., the component</w:t>
      </w:r>
      <w:r>
        <w:rPr>
          <w:szCs w:val="20"/>
        </w:rPr>
        <w:t xml:space="preserve"> 2 </w:t>
      </w:r>
      <w:r>
        <w:rPr>
          <w:rFonts w:eastAsia="Arial"/>
          <w:color w:val="111112"/>
          <w:szCs w:val="20"/>
          <w:shd w:val="clear" w:color="auto" w:fill="FFFFFF"/>
          <w:lang w:eastAsia="zh-CN"/>
        </w:rPr>
        <w:t xml:space="preserve">should be modified to dedicate to number of multi-TO configurations per BWP, and </w:t>
      </w:r>
      <w:r>
        <w:rPr>
          <w:szCs w:val="20"/>
        </w:rPr>
        <w:t xml:space="preserve">the component 3 </w:t>
      </w:r>
      <w:r>
        <w:rPr>
          <w:rFonts w:eastAsia="Arial"/>
          <w:color w:val="111112"/>
          <w:szCs w:val="20"/>
          <w:shd w:val="clear" w:color="auto" w:fill="FFFFFF"/>
          <w:lang w:eastAsia="zh-CN"/>
        </w:rPr>
        <w:t xml:space="preserve">should be modified to dedicate to number of multi-TO configurations across all serving cells. </w:t>
      </w:r>
    </w:p>
    <w:p w:rsidR="004E2CDF" w:rsidRDefault="00AB2C2B">
      <w:pPr>
        <w:tabs>
          <w:tab w:val="left" w:pos="800"/>
        </w:tabs>
        <w:spacing w:before="24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</w:t>
      </w:r>
      <w:r>
        <w:rPr>
          <w:rFonts w:eastAsia="MS Gothic"/>
          <w:b/>
          <w:bCs/>
          <w:i/>
          <w:iCs/>
          <w:szCs w:val="20"/>
          <w:lang w:eastAsia="ja-JP"/>
        </w:rPr>
        <w:t>3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: RAN1 defines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a 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FG </w:t>
      </w:r>
      <w:r>
        <w:rPr>
          <w:rStyle w:val="apple-converted-space"/>
          <w:b/>
          <w:bCs/>
          <w:i/>
          <w:iCs/>
          <w:szCs w:val="20"/>
          <w:lang w:eastAsia="ja-JP"/>
        </w:rPr>
        <w:t>50-1x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 for “multiple CG configurat</w:t>
      </w:r>
      <w:r w:rsidR="00FF1933">
        <w:rPr>
          <w:rStyle w:val="apple-converted-space"/>
          <w:b/>
          <w:bCs/>
          <w:i/>
          <w:iCs/>
          <w:szCs w:val="20"/>
          <w:lang w:eastAsia="ja-JP"/>
        </w:rPr>
        <w:t>ions with each configuration supporting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 multiple PUSCH TOs per CG period”. </w:t>
      </w:r>
    </w:p>
    <w:p w:rsidR="004E2CDF" w:rsidRDefault="00AB2C2B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ind w:left="835" w:hanging="418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FG </w:t>
      </w:r>
      <w:r>
        <w:rPr>
          <w:rStyle w:val="apple-converted-space"/>
          <w:b/>
          <w:bCs/>
          <w:i/>
          <w:iCs/>
          <w:szCs w:val="20"/>
          <w:lang w:eastAsia="ja-JP"/>
        </w:rPr>
        <w:t>50-1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 is prerequisite of FG </w:t>
      </w:r>
      <w:r>
        <w:rPr>
          <w:rStyle w:val="apple-converted-space"/>
          <w:b/>
          <w:bCs/>
          <w:i/>
          <w:iCs/>
          <w:szCs w:val="20"/>
          <w:lang w:eastAsia="ja-JP"/>
        </w:rPr>
        <w:t>50-1x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. </w:t>
      </w:r>
    </w:p>
    <w:p w:rsidR="004E2CDF" w:rsidRDefault="00AB2C2B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ind w:left="835" w:hanging="418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One of the following two options is adopted. </w:t>
      </w:r>
    </w:p>
    <w:p w:rsidR="004E2CDF" w:rsidRDefault="00AB2C2B">
      <w:pPr>
        <w:numPr>
          <w:ilvl w:val="1"/>
          <w:numId w:val="14"/>
        </w:numPr>
        <w:tabs>
          <w:tab w:val="clear" w:pos="840"/>
          <w:tab w:val="left" w:pos="800"/>
        </w:tabs>
        <w:spacing w:before="120" w:after="120"/>
        <w:ind w:left="1255" w:hanging="418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Option-1: FG 11-9 is another prerequisite of FG </w:t>
      </w:r>
      <w:r>
        <w:rPr>
          <w:rStyle w:val="apple-converted-space"/>
          <w:b/>
          <w:bCs/>
          <w:i/>
          <w:iCs/>
          <w:szCs w:val="20"/>
          <w:lang w:eastAsia="ja-JP"/>
        </w:rPr>
        <w:t>50-1x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. In addition, FG </w:t>
      </w:r>
      <w:r>
        <w:rPr>
          <w:rStyle w:val="apple-converted-space"/>
          <w:b/>
          <w:bCs/>
          <w:i/>
          <w:iCs/>
          <w:szCs w:val="20"/>
          <w:lang w:eastAsia="ja-JP"/>
        </w:rPr>
        <w:t>50-1</w:t>
      </w:r>
      <w:r>
        <w:rPr>
          <w:rStyle w:val="apple-converted-space"/>
          <w:b/>
          <w:bCs/>
          <w:i/>
          <w:iCs/>
          <w:szCs w:val="20"/>
          <w:lang w:eastAsia="ja-JP"/>
        </w:rPr>
        <w:t>x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 contains </w:t>
      </w:r>
    </w:p>
    <w:p w:rsidR="004E2CDF" w:rsidRDefault="00AB2C2B">
      <w:pPr>
        <w:numPr>
          <w:ilvl w:val="2"/>
          <w:numId w:val="14"/>
        </w:numPr>
        <w:tabs>
          <w:tab w:val="clear" w:pos="1260"/>
          <w:tab w:val="left" w:pos="800"/>
        </w:tabs>
        <w:spacing w:before="120" w:after="120"/>
        <w:ind w:left="1675" w:hanging="418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a feature component for “maximum number of multi-TO CG configurations per BWP”, which is no larger than </w:t>
      </w:r>
      <w:r>
        <w:rPr>
          <w:rFonts w:eastAsia="Arial"/>
          <w:b/>
          <w:bCs/>
          <w:i/>
          <w:iCs/>
          <w:color w:val="111112"/>
          <w:szCs w:val="20"/>
          <w:shd w:val="clear" w:color="auto" w:fill="FFFFFF"/>
          <w:lang w:eastAsia="zh-CN"/>
        </w:rPr>
        <w:t>maxNumberConfigsPerBWP-r16 reported in FG 11-9.</w:t>
      </w:r>
    </w:p>
    <w:p w:rsidR="004E2CDF" w:rsidRDefault="00AB2C2B">
      <w:pPr>
        <w:numPr>
          <w:ilvl w:val="2"/>
          <w:numId w:val="14"/>
        </w:numPr>
        <w:tabs>
          <w:tab w:val="clear" w:pos="1260"/>
          <w:tab w:val="left" w:pos="800"/>
        </w:tabs>
        <w:spacing w:before="120" w:after="120"/>
        <w:ind w:left="1675" w:hanging="418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>a feature component for “maximum number of multi-TO CG configurations across all serving cel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ls”, which is no larger than </w:t>
      </w:r>
      <w:r>
        <w:rPr>
          <w:b/>
          <w:bCs/>
          <w:i/>
          <w:iCs/>
        </w:rPr>
        <w:t>maxNumberConfigsAllCC-r16</w:t>
      </w:r>
      <w:r>
        <w:rPr>
          <w:rFonts w:eastAsia="Arial"/>
          <w:b/>
          <w:bCs/>
          <w:i/>
          <w:iCs/>
          <w:color w:val="111112"/>
          <w:szCs w:val="20"/>
          <w:shd w:val="clear" w:color="auto" w:fill="FFFFFF"/>
          <w:lang w:eastAsia="zh-CN"/>
        </w:rPr>
        <w:t xml:space="preserve"> reported in FG 11-9.</w:t>
      </w:r>
    </w:p>
    <w:p w:rsidR="004E2CDF" w:rsidRDefault="00AB2C2B">
      <w:pPr>
        <w:numPr>
          <w:ilvl w:val="1"/>
          <w:numId w:val="14"/>
        </w:numPr>
        <w:tabs>
          <w:tab w:val="clear" w:pos="840"/>
          <w:tab w:val="left" w:pos="800"/>
        </w:tabs>
        <w:spacing w:before="120" w:after="120"/>
        <w:ind w:left="1255" w:hanging="418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Option-2: FG 11-9 is not a prerequisite of FG </w:t>
      </w:r>
      <w:r>
        <w:rPr>
          <w:rStyle w:val="apple-converted-space"/>
          <w:b/>
          <w:bCs/>
          <w:i/>
          <w:iCs/>
          <w:szCs w:val="20"/>
          <w:lang w:eastAsia="ja-JP"/>
        </w:rPr>
        <w:t>50-1x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, but its feature components are copied to FG </w:t>
      </w:r>
      <w:r>
        <w:rPr>
          <w:rStyle w:val="apple-converted-space"/>
          <w:b/>
          <w:bCs/>
          <w:i/>
          <w:iCs/>
          <w:szCs w:val="20"/>
          <w:lang w:eastAsia="ja-JP"/>
        </w:rPr>
        <w:t>50-1x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, with necessary re-definitions to dedicate to CG configurations for multiple PUSCH TOs per CG period. </w:t>
      </w:r>
    </w:p>
    <w:p w:rsidR="004E2CDF" w:rsidRDefault="00AB2C2B">
      <w:pPr>
        <w:tabs>
          <w:tab w:val="left" w:pos="800"/>
        </w:tabs>
        <w:spacing w:before="240" w:after="120"/>
        <w:rPr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For the indication of unused PUSCH TOs, RAN1 agrees the value range of indication bitmap size as </w:t>
      </w:r>
      <w:r>
        <w:rPr>
          <w:szCs w:val="20"/>
          <w:lang w:eastAsia="ja-JP"/>
        </w:rPr>
        <w:t>(3, …, 8)</w:t>
      </w:r>
      <w:r>
        <w:rPr>
          <w:szCs w:val="20"/>
          <w:lang w:eastAsia="ja-JP"/>
        </w:rPr>
        <w:t xml:space="preserve">. Then it is reasonable to let UE provide gNB </w:t>
      </w:r>
      <w:r>
        <w:rPr>
          <w:szCs w:val="20"/>
          <w:lang w:eastAsia="ja-JP"/>
        </w:rPr>
        <w:t xml:space="preserve">with its own bitmap size capability because UE does not need to support all bitmap sizes. </w:t>
      </w:r>
    </w:p>
    <w:p w:rsidR="004E2CDF" w:rsidRDefault="00AB2C2B">
      <w:pPr>
        <w:tabs>
          <w:tab w:val="left" w:pos="800"/>
        </w:tabs>
        <w:spacing w:before="240" w:after="120"/>
        <w:rPr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</w:t>
      </w:r>
      <w:r>
        <w:rPr>
          <w:rFonts w:eastAsia="MS Gothic"/>
          <w:b/>
          <w:bCs/>
          <w:i/>
          <w:iCs/>
          <w:szCs w:val="20"/>
          <w:lang w:eastAsia="ja-JP"/>
        </w:rPr>
        <w:t>4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: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FG 50-2 contains a component indicating the supported bitmap sizes from </w:t>
      </w:r>
      <w:r>
        <w:rPr>
          <w:b/>
          <w:bCs/>
          <w:i/>
          <w:iCs/>
          <w:szCs w:val="20"/>
          <w:lang w:eastAsia="ja-JP"/>
        </w:rPr>
        <w:t>(3, …, 8)</w:t>
      </w:r>
      <w:r>
        <w:rPr>
          <w:b/>
          <w:bCs/>
          <w:i/>
          <w:iCs/>
          <w:szCs w:val="20"/>
          <w:lang w:eastAsia="ja-JP"/>
        </w:rPr>
        <w:t xml:space="preserve">. </w:t>
      </w:r>
    </w:p>
    <w:p w:rsidR="004E2CDF" w:rsidRDefault="00AB2C2B">
      <w:pPr>
        <w:tabs>
          <w:tab w:val="left" w:pos="800"/>
        </w:tabs>
        <w:spacing w:before="240" w:after="120"/>
        <w:rPr>
          <w:rFonts w:eastAsia="MS Gothic"/>
          <w:szCs w:val="20"/>
          <w:lang w:eastAsia="ja-JP"/>
        </w:rPr>
      </w:pPr>
      <w:r>
        <w:rPr>
          <w:rFonts w:eastAsia="MS Gothic"/>
          <w:szCs w:val="20"/>
          <w:lang w:eastAsia="ja-JP"/>
        </w:rPr>
        <w:t>RAN #101 agreed to support PDCCH monitoring resumption upon transmission of HARQ-NACK, and to target a UE capability on this support. Although this UE capability is discussed in Rel-18 XR context, its corresponding functionality is tightly related to Rel-1</w:t>
      </w:r>
      <w:r>
        <w:rPr>
          <w:rFonts w:eastAsia="MS Gothic"/>
          <w:szCs w:val="20"/>
          <w:lang w:eastAsia="ja-JP"/>
        </w:rPr>
        <w:t xml:space="preserve">7 UE feature FG29-3a, which is per-Band FG, on UE power saving.  </w:t>
      </w:r>
    </w:p>
    <w:p w:rsidR="004E2CDF" w:rsidRDefault="00AB2C2B">
      <w:pPr>
        <w:tabs>
          <w:tab w:val="left" w:pos="800"/>
        </w:tabs>
        <w:spacing w:before="240" w:after="120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5: Design a Rel-18 UE feature group for PDCCH monitoring resumption upon NACK, as following. </w:t>
      </w:r>
    </w:p>
    <w:p w:rsidR="004E2CDF" w:rsidRDefault="00AB2C2B">
      <w:pPr>
        <w:numPr>
          <w:ilvl w:val="0"/>
          <w:numId w:val="15"/>
        </w:numPr>
        <w:tabs>
          <w:tab w:val="clear" w:pos="420"/>
          <w:tab w:val="left" w:pos="800"/>
        </w:tabs>
        <w:spacing w:before="240" w:after="120"/>
        <w:ind w:left="800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This FG takes FG29-3a as prerequisite. </w:t>
      </w:r>
    </w:p>
    <w:p w:rsidR="004E2CDF" w:rsidRDefault="00AB2C2B">
      <w:pPr>
        <w:numPr>
          <w:ilvl w:val="0"/>
          <w:numId w:val="15"/>
        </w:numPr>
        <w:tabs>
          <w:tab w:val="clear" w:pos="420"/>
          <w:tab w:val="left" w:pos="800"/>
        </w:tabs>
        <w:spacing w:before="240" w:after="120"/>
        <w:ind w:left="800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This FG is optional with capability signaling. </w:t>
      </w:r>
    </w:p>
    <w:p w:rsidR="004E2CDF" w:rsidRDefault="00AB2C2B">
      <w:pPr>
        <w:numPr>
          <w:ilvl w:val="0"/>
          <w:numId w:val="15"/>
        </w:numPr>
        <w:tabs>
          <w:tab w:val="clear" w:pos="420"/>
          <w:tab w:val="left" w:pos="800"/>
        </w:tabs>
        <w:spacing w:before="240" w:after="120"/>
        <w:ind w:left="800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This FG is per-Band, with FDD/TDD differentiation and FR1/FR2 differentiation marked as “N/A”.  </w:t>
      </w:r>
    </w:p>
    <w:p w:rsidR="004E2CDF" w:rsidRDefault="004E2CDF">
      <w:pPr>
        <w:pStyle w:val="ListParagraph"/>
        <w:numPr>
          <w:ilvl w:val="0"/>
          <w:numId w:val="16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4E2CDF" w:rsidRDefault="004E2CDF">
      <w:pPr>
        <w:pStyle w:val="ListParagraph"/>
        <w:numPr>
          <w:ilvl w:val="0"/>
          <w:numId w:val="16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4E2CDF" w:rsidRDefault="00AB2C2B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:rsidR="004E2CDF" w:rsidRDefault="00AB2C2B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 proposals:</w:t>
      </w:r>
    </w:p>
    <w:p w:rsidR="004E2CDF" w:rsidRDefault="00AB2C2B">
      <w:pPr>
        <w:tabs>
          <w:tab w:val="left" w:pos="800"/>
        </w:tabs>
        <w:spacing w:before="240" w:after="120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1: </w:t>
      </w:r>
      <w:r>
        <w:rPr>
          <w:rFonts w:eastAsia="MS Gothic"/>
          <w:b/>
          <w:bCs/>
          <w:i/>
          <w:iCs/>
          <w:szCs w:val="20"/>
          <w:lang w:eastAsia="ja-JP"/>
        </w:rPr>
        <w:t>FG 50-1 is separated into two FGs for Type-1 CG and Type-2 CG, respectively; ot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herwise, FG 50-1 should be able to indicate whether the supporting of FG50-1 is via Type-1 CG, Type-2 CG or both. </w:t>
      </w:r>
    </w:p>
    <w:p w:rsidR="004E2CDF" w:rsidRDefault="00AB2C2B">
      <w:pPr>
        <w:tabs>
          <w:tab w:val="left" w:pos="800"/>
        </w:tabs>
        <w:spacing w:before="240" w:after="120"/>
        <w:rPr>
          <w:rStyle w:val="apple-converted-space"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</w:t>
      </w:r>
      <w:r>
        <w:rPr>
          <w:rFonts w:eastAsia="MS Gothic"/>
          <w:b/>
          <w:bCs/>
          <w:i/>
          <w:iCs/>
          <w:szCs w:val="20"/>
          <w:lang w:eastAsia="ja-JP"/>
        </w:rPr>
        <w:t>2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: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FG 50-1 has a component indicating the maximum number of consecutive slots for PUSCH transmission per CG period.  </w:t>
      </w:r>
      <w:r>
        <w:rPr>
          <w:rStyle w:val="apple-converted-space"/>
          <w:szCs w:val="20"/>
          <w:lang w:eastAsia="ja-JP"/>
        </w:rPr>
        <w:t xml:space="preserve"> </w:t>
      </w:r>
    </w:p>
    <w:p w:rsidR="004E2CDF" w:rsidRDefault="00AB2C2B">
      <w:pPr>
        <w:tabs>
          <w:tab w:val="left" w:pos="800"/>
        </w:tabs>
        <w:spacing w:before="24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</w:t>
      </w:r>
      <w:r>
        <w:rPr>
          <w:rFonts w:eastAsia="MS Gothic"/>
          <w:b/>
          <w:bCs/>
          <w:i/>
          <w:iCs/>
          <w:szCs w:val="20"/>
          <w:lang w:eastAsia="ja-JP"/>
        </w:rPr>
        <w:t>3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: RAN1 defines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a 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FG </w:t>
      </w:r>
      <w:r>
        <w:rPr>
          <w:rStyle w:val="apple-converted-space"/>
          <w:b/>
          <w:bCs/>
          <w:i/>
          <w:iCs/>
          <w:szCs w:val="20"/>
          <w:lang w:eastAsia="ja-JP"/>
        </w:rPr>
        <w:t>50-1x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 for “multiple CG configurat</w:t>
      </w:r>
      <w:r w:rsidR="00FF1933">
        <w:rPr>
          <w:rStyle w:val="apple-converted-space"/>
          <w:b/>
          <w:bCs/>
          <w:i/>
          <w:iCs/>
          <w:szCs w:val="20"/>
          <w:lang w:eastAsia="ja-JP"/>
        </w:rPr>
        <w:t>ions with each configuration supporting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 multiple PUSCH TOs per CG period”. </w:t>
      </w:r>
    </w:p>
    <w:p w:rsidR="004E2CDF" w:rsidRDefault="00AB2C2B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ind w:left="835" w:hanging="418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FG </w:t>
      </w:r>
      <w:r>
        <w:rPr>
          <w:rStyle w:val="apple-converted-space"/>
          <w:b/>
          <w:bCs/>
          <w:i/>
          <w:iCs/>
          <w:szCs w:val="20"/>
          <w:lang w:eastAsia="ja-JP"/>
        </w:rPr>
        <w:t>50-1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 is prerequisite of FG </w:t>
      </w:r>
      <w:r>
        <w:rPr>
          <w:rStyle w:val="apple-converted-space"/>
          <w:b/>
          <w:bCs/>
          <w:i/>
          <w:iCs/>
          <w:szCs w:val="20"/>
          <w:lang w:eastAsia="ja-JP"/>
        </w:rPr>
        <w:t>50-1x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. </w:t>
      </w:r>
    </w:p>
    <w:p w:rsidR="004E2CDF" w:rsidRDefault="00AB2C2B">
      <w:pPr>
        <w:numPr>
          <w:ilvl w:val="0"/>
          <w:numId w:val="14"/>
        </w:numPr>
        <w:tabs>
          <w:tab w:val="clear" w:pos="840"/>
          <w:tab w:val="left" w:pos="800"/>
        </w:tabs>
        <w:spacing w:before="120" w:after="120"/>
        <w:ind w:left="835" w:hanging="418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One of the following two options is adopted. </w:t>
      </w:r>
    </w:p>
    <w:p w:rsidR="004E2CDF" w:rsidRDefault="00AB2C2B">
      <w:pPr>
        <w:numPr>
          <w:ilvl w:val="1"/>
          <w:numId w:val="14"/>
        </w:numPr>
        <w:tabs>
          <w:tab w:val="clear" w:pos="840"/>
          <w:tab w:val="left" w:pos="800"/>
        </w:tabs>
        <w:spacing w:before="120" w:after="120"/>
        <w:ind w:left="1255" w:hanging="418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lastRenderedPageBreak/>
        <w:t xml:space="preserve">Option-1: FG 11-9 is another prerequisite of FG </w:t>
      </w:r>
      <w:r>
        <w:rPr>
          <w:rStyle w:val="apple-converted-space"/>
          <w:b/>
          <w:bCs/>
          <w:i/>
          <w:iCs/>
          <w:szCs w:val="20"/>
          <w:lang w:eastAsia="ja-JP"/>
        </w:rPr>
        <w:t>50</w:t>
      </w:r>
      <w:r>
        <w:rPr>
          <w:rStyle w:val="apple-converted-space"/>
          <w:b/>
          <w:bCs/>
          <w:i/>
          <w:iCs/>
          <w:szCs w:val="20"/>
          <w:lang w:eastAsia="ja-JP"/>
        </w:rPr>
        <w:t>-1x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. In addition, FG </w:t>
      </w:r>
      <w:r>
        <w:rPr>
          <w:rStyle w:val="apple-converted-space"/>
          <w:b/>
          <w:bCs/>
          <w:i/>
          <w:iCs/>
          <w:szCs w:val="20"/>
          <w:lang w:eastAsia="ja-JP"/>
        </w:rPr>
        <w:t>50-1x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 contains </w:t>
      </w:r>
    </w:p>
    <w:p w:rsidR="004E2CDF" w:rsidRDefault="00AB2C2B">
      <w:pPr>
        <w:numPr>
          <w:ilvl w:val="2"/>
          <w:numId w:val="14"/>
        </w:numPr>
        <w:tabs>
          <w:tab w:val="clear" w:pos="1260"/>
          <w:tab w:val="left" w:pos="800"/>
        </w:tabs>
        <w:spacing w:before="120" w:after="120"/>
        <w:ind w:left="1675" w:hanging="418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a feature component for “maximum number of multi-TO CG configurations per BWP”, which is no larger than </w:t>
      </w:r>
      <w:r>
        <w:rPr>
          <w:rFonts w:eastAsia="Arial"/>
          <w:b/>
          <w:bCs/>
          <w:i/>
          <w:iCs/>
          <w:color w:val="111112"/>
          <w:szCs w:val="20"/>
          <w:shd w:val="clear" w:color="auto" w:fill="FFFFFF"/>
          <w:lang w:eastAsia="zh-CN"/>
        </w:rPr>
        <w:t>maxNumberConfigsPerBWP-r16 reported in FG 11-9.</w:t>
      </w:r>
    </w:p>
    <w:p w:rsidR="004E2CDF" w:rsidRDefault="00AB2C2B">
      <w:pPr>
        <w:numPr>
          <w:ilvl w:val="2"/>
          <w:numId w:val="14"/>
        </w:numPr>
        <w:tabs>
          <w:tab w:val="clear" w:pos="1260"/>
          <w:tab w:val="left" w:pos="800"/>
        </w:tabs>
        <w:spacing w:before="120" w:after="120"/>
        <w:ind w:left="1675" w:hanging="418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a feature component for “maximum number of multi-TO CG configurations across all serving cells”, which is no larger than </w:t>
      </w:r>
      <w:r>
        <w:rPr>
          <w:b/>
          <w:bCs/>
          <w:i/>
          <w:iCs/>
        </w:rPr>
        <w:t>maxNumberConfigsAllCC-r16</w:t>
      </w:r>
      <w:r>
        <w:rPr>
          <w:rFonts w:eastAsia="Arial"/>
          <w:b/>
          <w:bCs/>
          <w:i/>
          <w:iCs/>
          <w:color w:val="111112"/>
          <w:szCs w:val="20"/>
          <w:shd w:val="clear" w:color="auto" w:fill="FFFFFF"/>
          <w:lang w:eastAsia="zh-CN"/>
        </w:rPr>
        <w:t xml:space="preserve"> reported in FG 11-9.</w:t>
      </w:r>
    </w:p>
    <w:p w:rsidR="004E2CDF" w:rsidRDefault="00AB2C2B">
      <w:pPr>
        <w:numPr>
          <w:ilvl w:val="1"/>
          <w:numId w:val="14"/>
        </w:numPr>
        <w:tabs>
          <w:tab w:val="clear" w:pos="840"/>
          <w:tab w:val="left" w:pos="800"/>
        </w:tabs>
        <w:spacing w:before="120" w:after="120"/>
        <w:ind w:left="1255" w:hanging="418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Option-2: FG 11-9 is not a prerequisite of FG </w:t>
      </w:r>
      <w:r>
        <w:rPr>
          <w:rStyle w:val="apple-converted-space"/>
          <w:b/>
          <w:bCs/>
          <w:i/>
          <w:iCs/>
          <w:szCs w:val="20"/>
          <w:lang w:eastAsia="ja-JP"/>
        </w:rPr>
        <w:t>50-1x</w:t>
      </w:r>
      <w:r>
        <w:rPr>
          <w:rStyle w:val="apple-converted-space"/>
          <w:b/>
          <w:bCs/>
          <w:i/>
          <w:iCs/>
          <w:szCs w:val="20"/>
          <w:lang w:eastAsia="ja-JP"/>
        </w:rPr>
        <w:t>, but its feature components are copi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ed to FG </w:t>
      </w:r>
      <w:r>
        <w:rPr>
          <w:rStyle w:val="apple-converted-space"/>
          <w:b/>
          <w:bCs/>
          <w:i/>
          <w:iCs/>
          <w:szCs w:val="20"/>
          <w:lang w:eastAsia="ja-JP"/>
        </w:rPr>
        <w:t>50-1x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, with necessary re-definitions to dedicate to CG configurations for multiple PUSCH TOs per CG period. </w:t>
      </w:r>
    </w:p>
    <w:p w:rsidR="004E2CDF" w:rsidRDefault="00AB2C2B">
      <w:pPr>
        <w:tabs>
          <w:tab w:val="left" w:pos="800"/>
        </w:tabs>
        <w:spacing w:before="240" w:after="120"/>
        <w:rPr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</w:t>
      </w:r>
      <w:r>
        <w:rPr>
          <w:rFonts w:eastAsia="MS Gothic"/>
          <w:b/>
          <w:bCs/>
          <w:i/>
          <w:iCs/>
          <w:szCs w:val="20"/>
          <w:lang w:eastAsia="ja-JP"/>
        </w:rPr>
        <w:t>4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: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FG 50-2 contains a component indicating the supported bitmap sizes from </w:t>
      </w:r>
      <w:r>
        <w:rPr>
          <w:b/>
          <w:bCs/>
          <w:i/>
          <w:iCs/>
          <w:szCs w:val="20"/>
          <w:lang w:eastAsia="ja-JP"/>
        </w:rPr>
        <w:t>(3, …, 8)</w:t>
      </w:r>
      <w:r>
        <w:rPr>
          <w:b/>
          <w:bCs/>
          <w:i/>
          <w:iCs/>
          <w:szCs w:val="20"/>
          <w:lang w:eastAsia="ja-JP"/>
        </w:rPr>
        <w:t xml:space="preserve">. </w:t>
      </w:r>
    </w:p>
    <w:p w:rsidR="004E2CDF" w:rsidRDefault="00AB2C2B">
      <w:pPr>
        <w:tabs>
          <w:tab w:val="left" w:pos="800"/>
        </w:tabs>
        <w:spacing w:before="240" w:after="120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5: Design a Rel-18 UE feature group for PDCCH monitoring resumption upon NACK, as following. </w:t>
      </w:r>
    </w:p>
    <w:p w:rsidR="004E2CDF" w:rsidRDefault="00AB2C2B">
      <w:pPr>
        <w:numPr>
          <w:ilvl w:val="0"/>
          <w:numId w:val="15"/>
        </w:numPr>
        <w:tabs>
          <w:tab w:val="clear" w:pos="420"/>
          <w:tab w:val="left" w:pos="800"/>
        </w:tabs>
        <w:spacing w:before="240" w:after="120"/>
        <w:ind w:left="800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This FG takes FG29-3a as prerequisite. </w:t>
      </w:r>
    </w:p>
    <w:p w:rsidR="004E2CDF" w:rsidRDefault="00AB2C2B">
      <w:pPr>
        <w:numPr>
          <w:ilvl w:val="0"/>
          <w:numId w:val="15"/>
        </w:numPr>
        <w:tabs>
          <w:tab w:val="clear" w:pos="420"/>
          <w:tab w:val="left" w:pos="800"/>
        </w:tabs>
        <w:spacing w:before="240" w:after="120"/>
        <w:ind w:left="800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This FG is optional with capability signaling. </w:t>
      </w:r>
    </w:p>
    <w:p w:rsidR="004E2CDF" w:rsidRDefault="00AB2C2B">
      <w:pPr>
        <w:numPr>
          <w:ilvl w:val="0"/>
          <w:numId w:val="15"/>
        </w:numPr>
        <w:tabs>
          <w:tab w:val="clear" w:pos="420"/>
          <w:tab w:val="left" w:pos="800"/>
        </w:tabs>
        <w:spacing w:before="240" w:after="120"/>
        <w:ind w:left="800"/>
        <w:rPr>
          <w:rFonts w:eastAsia="MS Gothic"/>
          <w:b/>
          <w:bCs/>
          <w:i/>
          <w:iCs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>This FG is per-Band, with FDD/TDD differentiation and FR1/FR2 dif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ferentiation marked as “N/A”.  </w:t>
      </w:r>
    </w:p>
    <w:p w:rsidR="004E2CDF" w:rsidRDefault="00AB2C2B">
      <w:pPr>
        <w:pStyle w:val="Heading1"/>
        <w:rPr>
          <w:rFonts w:ascii="Times New Roman" w:hAnsi="Times New Roman" w:cs="Times New Roman"/>
          <w:sz w:val="20"/>
          <w:szCs w:val="20"/>
        </w:rPr>
      </w:pPr>
      <w:bookmarkStart w:id="2" w:name="_GoBack"/>
      <w:bookmarkEnd w:id="2"/>
      <w:r>
        <w:rPr>
          <w:rFonts w:ascii="Times New Roman" w:hAnsi="Times New Roman" w:cs="Times New Roman"/>
          <w:sz w:val="20"/>
          <w:szCs w:val="20"/>
        </w:rPr>
        <w:t>Reference</w:t>
      </w:r>
    </w:p>
    <w:p w:rsidR="004E2CDF" w:rsidRDefault="00AB2C2B">
      <w:pPr>
        <w:numPr>
          <w:ilvl w:val="0"/>
          <w:numId w:val="17"/>
        </w:numPr>
        <w:spacing w:after="40"/>
        <w:ind w:hangingChars="210"/>
        <w:rPr>
          <w:sz w:val="22"/>
          <w:szCs w:val="22"/>
        </w:rPr>
      </w:pPr>
      <w:r>
        <w:rPr>
          <w:rFonts w:eastAsia="SimSun"/>
          <w:color w:val="000000"/>
          <w:lang w:eastAsia="zh-CN"/>
        </w:rPr>
        <w:t>TS 38.822 v17.0.0,  NR User Equipment (UE) feature list (Release 17)</w:t>
      </w:r>
      <w:bookmarkStart w:id="3" w:name="_Ref475805663"/>
    </w:p>
    <w:p w:rsidR="004E2CDF" w:rsidRDefault="004E2CDF">
      <w:pPr>
        <w:numPr>
          <w:ilvl w:val="0"/>
          <w:numId w:val="17"/>
        </w:numPr>
        <w:spacing w:after="40"/>
        <w:ind w:hangingChars="210"/>
        <w:rPr>
          <w:szCs w:val="20"/>
        </w:rPr>
      </w:pPr>
      <w:hyperlink r:id="rId7" w:history="1">
        <w:r w:rsidR="00AB2C2B">
          <w:rPr>
            <w:rStyle w:val="Hyperlink"/>
            <w:rFonts w:ascii="Times New Roman" w:hAnsi="Times New Roman" w:cs="Times New Roman"/>
            <w:color w:val="auto"/>
            <w:szCs w:val="20"/>
            <w:u w:val="none"/>
          </w:rPr>
          <w:t>R1-2308521</w:t>
        </w:r>
      </w:hyperlink>
      <w:r w:rsidR="00AB2C2B">
        <w:rPr>
          <w:szCs w:val="20"/>
        </w:rPr>
        <w:t xml:space="preserve">, </w:t>
      </w:r>
      <w:r w:rsidR="00AB2C2B">
        <w:rPr>
          <w:szCs w:val="20"/>
        </w:rPr>
        <w:t xml:space="preserve">Updated RAN1 UE features list for Rel-18 NR after RAN1#114, Moderators (AT&amp;T, NTT DOCOMO, </w:t>
      </w:r>
      <w:r w:rsidR="00AB2C2B">
        <w:rPr>
          <w:szCs w:val="20"/>
        </w:rPr>
        <w:t>INC.)</w:t>
      </w:r>
      <w:bookmarkEnd w:id="3"/>
    </w:p>
    <w:p w:rsidR="004E2CDF" w:rsidRDefault="004E2CDF" w:rsidP="00FF1933">
      <w:pPr>
        <w:spacing w:after="40"/>
        <w:ind w:leftChars="-210" w:left="-420"/>
        <w:rPr>
          <w:rFonts w:eastAsia="SimSun"/>
          <w:color w:val="000000"/>
          <w:lang w:eastAsia="zh-CN"/>
        </w:rPr>
      </w:pPr>
    </w:p>
    <w:p w:rsidR="004E2CDF" w:rsidRDefault="004E2CDF">
      <w:pPr>
        <w:pStyle w:val="BodyText"/>
      </w:pPr>
    </w:p>
    <w:sectPr w:rsidR="004E2CDF" w:rsidSect="004E2CDF">
      <w:headerReference w:type="default" r:id="rId8"/>
      <w:footerReference w:type="default" r:id="rId9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CDF" w:rsidRDefault="004E2CDF" w:rsidP="004E2CDF">
      <w:r>
        <w:separator/>
      </w:r>
    </w:p>
  </w:endnote>
  <w:endnote w:type="continuationSeparator" w:id="0">
    <w:p w:rsidR="004E2CDF" w:rsidRDefault="004E2CDF" w:rsidP="004E2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Droid Sans Fallbac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28266"/>
    </w:sdtPr>
    <w:sdtContent>
      <w:p w:rsidR="004E2CDF" w:rsidRDefault="004E2CDF">
        <w:pPr>
          <w:pStyle w:val="Footer"/>
          <w:jc w:val="center"/>
        </w:pPr>
        <w:r>
          <w:fldChar w:fldCharType="begin"/>
        </w:r>
        <w:r w:rsidR="00AB2C2B">
          <w:instrText xml:space="preserve"> PAGE   \* MERGEFORMAT </w:instrText>
        </w:r>
        <w:r>
          <w:fldChar w:fldCharType="separate"/>
        </w:r>
        <w:r w:rsidR="00AB2C2B">
          <w:rPr>
            <w:noProof/>
          </w:rPr>
          <w:t>1</w:t>
        </w:r>
        <w:r>
          <w:fldChar w:fldCharType="end"/>
        </w:r>
      </w:p>
    </w:sdtContent>
  </w:sdt>
  <w:p w:rsidR="004E2CDF" w:rsidRDefault="004E2CD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CDF" w:rsidRDefault="004E2CDF" w:rsidP="004E2CDF">
      <w:r>
        <w:separator/>
      </w:r>
    </w:p>
  </w:footnote>
  <w:footnote w:type="continuationSeparator" w:id="0">
    <w:p w:rsidR="004E2CDF" w:rsidRDefault="004E2CDF" w:rsidP="004E2C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CDF" w:rsidRDefault="004E2CDF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F8A3B1"/>
    <w:multiLevelType w:val="multilevel"/>
    <w:tmpl w:val="97F8A3B1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AACEFF9B"/>
    <w:multiLevelType w:val="singleLevel"/>
    <w:tmpl w:val="AACEFF9B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</w:abstractNum>
  <w:abstractNum w:abstractNumId="2">
    <w:nsid w:val="DA5FE109"/>
    <w:multiLevelType w:val="singleLevel"/>
    <w:tmpl w:val="DA5FE109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</w:abstractNum>
  <w:abstractNum w:abstractNumId="3">
    <w:nsid w:val="EBB63DED"/>
    <w:multiLevelType w:val="singleLevel"/>
    <w:tmpl w:val="EBB63DE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7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92E1D88"/>
    <w:multiLevelType w:val="multilevel"/>
    <w:tmpl w:val="492E1D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5FFB1C4"/>
    <w:multiLevelType w:val="singleLevel"/>
    <w:tmpl w:val="65FFB1C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2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3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6"/>
  </w:num>
  <w:num w:numId="2">
    <w:abstractNumId w:val="14"/>
  </w:num>
  <w:num w:numId="3">
    <w:abstractNumId w:val="15"/>
  </w:num>
  <w:num w:numId="4">
    <w:abstractNumId w:val="12"/>
  </w:num>
  <w:num w:numId="5">
    <w:abstractNumId w:val="9"/>
  </w:num>
  <w:num w:numId="6">
    <w:abstractNumId w:val="5"/>
  </w:num>
  <w:num w:numId="7">
    <w:abstractNumId w:val="6"/>
  </w:num>
  <w:num w:numId="8">
    <w:abstractNumId w:val="13"/>
  </w:num>
  <w:num w:numId="9">
    <w:abstractNumId w:val="7"/>
  </w:num>
  <w:num w:numId="10">
    <w:abstractNumId w:val="11"/>
  </w:num>
  <w:num w:numId="11">
    <w:abstractNumId w:val="8"/>
  </w:num>
  <w:num w:numId="12">
    <w:abstractNumId w:val="2"/>
  </w:num>
  <w:num w:numId="13">
    <w:abstractNumId w:val="1"/>
  </w:num>
  <w:num w:numId="14">
    <w:abstractNumId w:val="0"/>
  </w:num>
  <w:num w:numId="15">
    <w:abstractNumId w:val="3"/>
  </w:num>
  <w:num w:numId="16">
    <w:abstractNumId w:val="4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applyBreakingRules/>
    <w:useFELayout/>
  </w:compat>
  <w:rsids>
    <w:rsidRoot w:val="00B87FBC"/>
    <w:rsid w:val="8D3E5D01"/>
    <w:rsid w:val="B0FCB2E1"/>
    <w:rsid w:val="B7EFA944"/>
    <w:rsid w:val="BEE5A6FA"/>
    <w:rsid w:val="BFF63C71"/>
    <w:rsid w:val="D9BFBADC"/>
    <w:rsid w:val="DBFFA4F4"/>
    <w:rsid w:val="DD76A23B"/>
    <w:rsid w:val="DEFF66CE"/>
    <w:rsid w:val="DF5A70F9"/>
    <w:rsid w:val="E5F74C0C"/>
    <w:rsid w:val="F5859ECD"/>
    <w:rsid w:val="FBF7C9A6"/>
    <w:rsid w:val="FDEFC181"/>
    <w:rsid w:val="FE578F67"/>
    <w:rsid w:val="FF3E2BA0"/>
    <w:rsid w:val="FF7F1E36"/>
    <w:rsid w:val="FFDF0FD1"/>
    <w:rsid w:val="FFF6F2E1"/>
    <w:rsid w:val="FFFF0F24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B60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2CDF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C2B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33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1EF6DC57"/>
    <w:rsid w:val="2E9F0322"/>
    <w:rsid w:val="2F0133F8"/>
    <w:rsid w:val="39FE3DF7"/>
    <w:rsid w:val="3DE75D7C"/>
    <w:rsid w:val="3FDF02ED"/>
    <w:rsid w:val="3FFF47FB"/>
    <w:rsid w:val="56BCAA7A"/>
    <w:rsid w:val="5FBFAEB5"/>
    <w:rsid w:val="63063AB4"/>
    <w:rsid w:val="68FF7FD5"/>
    <w:rsid w:val="6EEE9743"/>
    <w:rsid w:val="755F013D"/>
    <w:rsid w:val="75FD8E68"/>
    <w:rsid w:val="79FD25C5"/>
    <w:rsid w:val="7B7D92D8"/>
    <w:rsid w:val="7BFFC209"/>
    <w:rsid w:val="7FBDAF37"/>
    <w:rsid w:val="7FF7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CDF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4E2CDF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4E2CDF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4E2CDF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E2CDF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E2CDF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E2CDF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E2CDF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E2CDF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4E2CD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E2CDF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4E2CDF"/>
    <w:rPr>
      <w:sz w:val="18"/>
      <w:szCs w:val="18"/>
    </w:rPr>
  </w:style>
  <w:style w:type="paragraph" w:styleId="BodyText2">
    <w:name w:val="Body Text 2"/>
    <w:basedOn w:val="Normal"/>
    <w:qFormat/>
    <w:rsid w:val="004E2CDF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4E2CDF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4E2CDF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4E2CDF"/>
  </w:style>
  <w:style w:type="paragraph" w:styleId="CommentSubject">
    <w:name w:val="annotation subject"/>
    <w:basedOn w:val="CommentText"/>
    <w:next w:val="CommentText"/>
    <w:semiHidden/>
    <w:qFormat/>
    <w:rsid w:val="004E2CDF"/>
    <w:rPr>
      <w:b/>
      <w:bCs/>
    </w:rPr>
  </w:style>
  <w:style w:type="paragraph" w:styleId="DocumentMap">
    <w:name w:val="Document Map"/>
    <w:basedOn w:val="Normal"/>
    <w:semiHidden/>
    <w:qFormat/>
    <w:rsid w:val="004E2CDF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4E2CD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4E2CDF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4E2CDF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4E2CDF"/>
    <w:pPr>
      <w:ind w:left="283" w:hanging="283"/>
    </w:pPr>
  </w:style>
  <w:style w:type="paragraph" w:styleId="List2">
    <w:name w:val="List 2"/>
    <w:basedOn w:val="List"/>
    <w:qFormat/>
    <w:rsid w:val="004E2CDF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4E2CDF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4E2CDF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4E2CDF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4E2CDF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4E2CDF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4E2CDF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4E2C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4E2CDF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4E2CD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4E2C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4E2CDF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4E2CDF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4E2C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4E2C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4E2CDF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4E2CDF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4E2CDF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4E2CDF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4E2CDF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4E2CDF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4E2CDF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4E2CDF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4E2CD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4E2CDF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4E2CDF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4E2CDF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4E2CDF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4E2CD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4E2CDF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4E2CDF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4E2CDF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4E2CDF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4E2CDF"/>
    <w:rPr>
      <w:b/>
    </w:rPr>
  </w:style>
  <w:style w:type="paragraph" w:customStyle="1" w:styleId="TAC">
    <w:name w:val="TAC"/>
    <w:basedOn w:val="Normal"/>
    <w:link w:val="TACChar"/>
    <w:qFormat/>
    <w:rsid w:val="004E2CD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4E2CD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4E2CDF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4E2CDF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4E2CDF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4E2CDF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4E2CDF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4E2CDF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4E2CDF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E2C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4E2C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4E2CD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4E2CDF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4E2CDF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4E2CDF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4E2CDF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4E2CDF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4E2CDF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4E2CDF"/>
    <w:pPr>
      <w:ind w:left="851" w:hanging="851"/>
    </w:pPr>
  </w:style>
  <w:style w:type="paragraph" w:customStyle="1" w:styleId="LGTdoc">
    <w:name w:val="LGTdoc_본문"/>
    <w:basedOn w:val="Normal"/>
    <w:qFormat/>
    <w:rsid w:val="004E2CD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4E2CDF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E2CDF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4E2CDF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4E2CDF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4E2CDF"/>
  </w:style>
  <w:style w:type="character" w:customStyle="1" w:styleId="apple-converted-space">
    <w:name w:val="apple-converted-space"/>
    <w:qFormat/>
    <w:rsid w:val="004E2CDF"/>
  </w:style>
  <w:style w:type="character" w:customStyle="1" w:styleId="PlainTextChar">
    <w:name w:val="Plain Text Char"/>
    <w:link w:val="PlainText"/>
    <w:uiPriority w:val="99"/>
    <w:qFormat/>
    <w:rsid w:val="004E2CDF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4E2CD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4E2CDF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4E2CDF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4E2CDF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4E2CDF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4E2CDF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4E2CDF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4E2CDF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4E2CD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4E2CD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4E2CDF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4E2CD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4E2CDF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4E2CDF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4E2CDF"/>
  </w:style>
  <w:style w:type="character" w:customStyle="1" w:styleId="10">
    <w:name w:val="列表段落 字符1"/>
    <w:uiPriority w:val="34"/>
    <w:qFormat/>
    <w:locked/>
    <w:rsid w:val="004E2CDF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rsid w:val="004E2CDF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rsid w:val="004E2CDF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4E2CDF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../../Docs/R1-230852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1284</Words>
  <Characters>6491</Characters>
  <Application>Microsoft Office Word</Application>
  <DocSecurity>0</DocSecurity>
  <Lines>54</Lines>
  <Paragraphs>15</Paragraphs>
  <ScaleCrop>false</ScaleCrop>
  <Company>OPPO</Company>
  <LinksUpToDate>false</LinksUpToDate>
  <CharactersWithSpaces>7760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9</cp:revision>
  <cp:lastPrinted>2007-08-26T08:45:00Z</cp:lastPrinted>
  <dcterms:created xsi:type="dcterms:W3CDTF">2023-08-08T06:20:00Z</dcterms:created>
  <dcterms:modified xsi:type="dcterms:W3CDTF">2023-09-28T10:48:00Z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1033-11.1.0.11704</vt:lpwstr>
  </property>
  <property fmtid="{D5CDD505-2E9C-101B-9397-08002B2CF9AE}" pid="3" name="ICV">
    <vt:lpwstr>7C76EF09019845D88947C3751A5DCFE9_12</vt:lpwstr>
  </property>
</Properties>
</file>